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2020年12月7日院级会议内容摘要</w:t>
      </w:r>
      <w:bookmarkStart w:id="0" w:name="_GoBack"/>
      <w:bookmarkEnd w:id="0"/>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进一步增强医院处理突发事件的能力，保障患者对医疗工作的知情权，接受社会各界对医院工作的监督，构建和谐医患关系，特制定《河南大学第一附属医院新闻发言人制度》。成立新闻发言人团队，建立发布流程，做好新闻宣传。</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为加强对医院科室、部门及工作人员的监督管理，提高广大职工廉洁自律意识，恪守职业道德，防范及遏制违规违法行为的发生，特制定《河南大学第一附属医院关于严禁药品统方回扣、耗材统计回扣的规定》。</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为更好的发挥医德医风考评制度在医院管理体系中的重要作用，结合医院实际，制定《河南大学第一附属医院医德医风多部门协调机制管理办法(试行)》。</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加强医德医风建设，规范医疗服务行为，改善医疗服务态度，提高全院医务人员的职业道德素质和医疗服务质量，根据上级文件要求，结合医院实际，制定《河南大学第一附属医院医德医风行为规范（试行）》。</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按照医院等级评审要求，需调整医院质量与安全管理委员会组织体系，由原先的12个增加至19个，分别为医院质量与安全管理委员会、医疗质量与安全管理委员会、放射诊疗与辐射安全管理委员会、医疗技术临床应用管理委员会、临床路径管理委员会、护理质量与安全管理委员会、药事管理与药物治疗学委员会、感染预防与控制委员会、临床用血管理委员会、病案管理委员会、医学装备管理委员会、安全生产管理委员会、爱国卫生运动委员会、信息安全管理委员会、医学伦理委员会、医学教育与科学研究管理委员会、后勤服务安全管理委员会、消防安全管理委员会、危险品监督管理委员会。</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医院等级评审要求，对《传染病管理领导小组》《传染病管理工作制度》《传染病预检分诊制度》《传染病预检分诊流程图》《传染病转诊制度》《传染病疫情报告管理奖惩制度》《传染病疫情报告管理制度》《关于调整传染病疫情网络直报领导小组的通知》《传染病疫情网络直报管理制度》《关于调整结核病防治领导小组的通知》《肺结核病人报告转诊制度》《传染病培训制度》文件内容进行了修订。</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经医院研究，拟于2020年12月21日-2021年3月31日，为全院职工及职工父母进行分类体检。</w:t>
      </w:r>
      <w:r>
        <w:rPr>
          <w:rFonts w:ascii="仿宋_GB2312" w:hAnsi="仿宋_GB2312" w:eastAsia="仿宋_GB2312" w:cs="仿宋_GB2312"/>
          <w:spacing w:val="-6"/>
          <w:sz w:val="32"/>
          <w:szCs w:val="32"/>
        </w:rPr>
        <w:t xml:space="preserve"> </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2021年内部审计工作将紧紧围绕医院重点工作任务，健全完善内部审计制度、科学规范审计流程；加强对医院基建、修缮工程项目的审计；加强对医院药品、医用耗材的审计；加强对财务收支的审计；加强后勤零星修缮项目、后勤保洁、保安岗位设置及服务内容、洗衣房日常审计、设备维修配件及耗材的日常审计；加强科室的业务学习及培训；加强院内外的联系和工作交流；开展专项审计工作；完善专项审计整改台账；向职代会报告2020年度审计工作及2021年审计工作计划与要点。</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依据《河南大学第一附属医院内部审计工作规定》（院行【2020】161号）、《河南大学第一附属医院重大经济事项审计监督暂行规定》（院行【2020】224号）文件精神，医院将对2020年度前十个月的大额资金使用情况进行事后审计；以抽查的方式对医院及所属部门的绩效奖金考核和分配情况进行审计监督；对部分重点采购项目实施全过程监督与审计，对医院三公经费进行审计。</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通报调整医院国有资产管理委员会，调整成本管理领导小组。</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通报拟定辩证施膳指导分级收费标准备案申请。初级职称操作98元/次、中级职称操作158元/次、高级职称操作198元/次。</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审议标识标牌商家库管理办法，加强医院标识标牌的采购管理。</w:t>
      </w:r>
      <w:r>
        <w:rPr>
          <w:rFonts w:ascii="仿宋_GB2312" w:hAnsi="仿宋_GB2312" w:eastAsia="仿宋_GB2312" w:cs="仿宋_GB2312"/>
          <w:spacing w:val="-6"/>
          <w:sz w:val="32"/>
          <w:szCs w:val="32"/>
        </w:rPr>
        <w:t xml:space="preserve"> </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审议科研经费审计实施暂行办法，制定《河南大学第一附属医院科研经费审计实施办法（试行）》，明确科研经费审计范围，规定科研项目经费审计的方式。</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2020年12月第一周院内疫情防控、科室主任核心制度及病历书写规范考试通报。疫情防控存在主要问题：急诊大厅处自动体温检测设备工作不稳定；部分门诊诊室未做到“一医一患一诊室” ，偶尔出现患者或家属聚集现象，要求立即整改。核酸检测率较11月第4周核酸检测率明显增加，要求继续保持。12月6日下午全院共62名临床、医技科室主任、副主任参加医疗质量安全核心制度与病历书写规范考试，要求得分较低的主任加强学习，医务部进一步督导。</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上周创三甲工作汇报。 上周针对三甲预评审专家提出的意见，进行了进一步梳理，从已完成、正在整改、持续整改、列入下一步工作计划四个方面形成整改台账，明确责任分工、解决办法和时间节点。要求整改台账日报告制度，加快整改工作进度。</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2020年第3季度药品“双十”公示。对用药不合理的人员进行公示，要求职能部门进行原因分析，加强督导，必要时约谈，促使用药合理合规。</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2020年第3季度高值耗材“双十”公示。医学装备部，对进入“双十”的耗材进行了相关资质查询、出入库信息查询、翻阅部分高值耗材使用登记表及病例耗材粘贴联复印件，对使用耗材的病历进行分析，要求临床科室一定在患者知情同意书上提供高值耗材两种以上选择，维护患者知情权，同时对前十名必要时进行约谈。</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2020年度国家绩效考核三级公立医院满意度调查通知。 按照国家卫办医函（2019）371号文件要求，全国参与绩效考核的三级公立医院参与2020年度满意度调查工作，调查结果纳入年度绩效考核。</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2020年3季度微生物耐药分析。 2020年第一季度微生物室对接收的标本进行检测，要求做好记录，做好阳性率分析，为临床提供治疗依据。</w:t>
      </w:r>
    </w:p>
    <w:p>
      <w:pPr>
        <w:numPr>
          <w:ilvl w:val="0"/>
          <w:numId w:val="1"/>
        </w:numPr>
        <w:spacing w:line="560" w:lineRule="exact"/>
        <w:ind w:firstLine="616" w:firstLineChars="200"/>
        <w:contextualSpacing/>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张双林院长对院办公会汇报的问题进行总结，对下一步工作提出要求：1.对存在的问题认真分析，抓紧整改.2.疫情防控严抓不懈，患者及陪护核算检测要应检尽检。3.三甲创建工作要排好时间节点和责任清单，协调联动确保成功创建。4.要以三甲创建为契机，不断提升内涵建设。</w:t>
      </w:r>
    </w:p>
    <w:p>
      <w:pPr>
        <w:spacing w:line="560" w:lineRule="exact"/>
        <w:contextualSpacing/>
        <w:rPr>
          <w:rFonts w:ascii="仿宋_GB2312" w:hAnsi="仿宋_GB2312" w:eastAsia="仿宋_GB2312" w:cs="仿宋_GB2312"/>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D5008D"/>
    <w:multiLevelType w:val="singleLevel"/>
    <w:tmpl w:val="B1D500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73E7E2E"/>
    <w:rsid w:val="00006EB4"/>
    <w:rsid w:val="000A3E29"/>
    <w:rsid w:val="000B6D81"/>
    <w:rsid w:val="0012634F"/>
    <w:rsid w:val="001354A2"/>
    <w:rsid w:val="001A5EAE"/>
    <w:rsid w:val="00201690"/>
    <w:rsid w:val="00245A54"/>
    <w:rsid w:val="00272100"/>
    <w:rsid w:val="002834F4"/>
    <w:rsid w:val="002C2B37"/>
    <w:rsid w:val="004B0DC7"/>
    <w:rsid w:val="004C0CB8"/>
    <w:rsid w:val="00506DE2"/>
    <w:rsid w:val="005844DB"/>
    <w:rsid w:val="005E423D"/>
    <w:rsid w:val="00790E3D"/>
    <w:rsid w:val="0084188F"/>
    <w:rsid w:val="00886AD2"/>
    <w:rsid w:val="009918AF"/>
    <w:rsid w:val="00A6535D"/>
    <w:rsid w:val="00A75CAF"/>
    <w:rsid w:val="00B03506"/>
    <w:rsid w:val="00C35DAB"/>
    <w:rsid w:val="00DD40CC"/>
    <w:rsid w:val="00E72C23"/>
    <w:rsid w:val="00FD421F"/>
    <w:rsid w:val="05C67E38"/>
    <w:rsid w:val="373E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9"/>
    <w:pPr>
      <w:autoSpaceDE w:val="0"/>
      <w:autoSpaceDN w:val="0"/>
      <w:adjustRightInd w:val="0"/>
      <w:ind w:left="270" w:hanging="270"/>
      <w:jc w:val="center"/>
      <w:outlineLvl w:val="1"/>
    </w:pPr>
    <w:rPr>
      <w:rFonts w:ascii="Tahoma" w:hAnsi="Calibri" w:eastAsia="宋体" w:cs="Times New Roman"/>
      <w:kern w:val="0"/>
      <w:sz w:val="28"/>
      <w:szCs w:val="32"/>
      <w:lang w:val="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character" w:customStyle="1" w:styleId="9">
    <w:name w:val="标题 2 Char"/>
    <w:basedOn w:val="6"/>
    <w:link w:val="2"/>
    <w:qFormat/>
    <w:uiPriority w:val="99"/>
    <w:rPr>
      <w:rFonts w:ascii="Tahoma" w:hAnsi="Calibri" w:eastAsia="宋体" w:cs="Times New Roman"/>
      <w:sz w:val="28"/>
      <w:szCs w:val="32"/>
      <w:lang w:val="zh-CN"/>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343</Words>
  <Characters>1960</Characters>
  <Lines>16</Lines>
  <Paragraphs>4</Paragraphs>
  <TotalTime>21</TotalTime>
  <ScaleCrop>false</ScaleCrop>
  <LinksUpToDate>false</LinksUpToDate>
  <CharactersWithSpaces>2299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2020-12-11T01:45:00Z</dcterms:created>
  <dc:creator>℡</dc:creator>
  <cp:lastModifiedBy>文刀辉</cp:lastModifiedBy>
  <cp:lastPrinted>2020-12-11T01:47:00Z</cp:lastPrinted>
  <dcterms:modified xsi:type="dcterms:W3CDTF">2020-12-11T08:29:59Z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